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72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72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72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Javni poziv za podršku lokalnim samoupravama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72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 osnaživanju mehanizama za rodnu ravnopravnost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color w:val="72737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Najčešća pitanja i odgovori: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color w:val="72737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Ažurirano: 25. septembra 2020.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P1: Da li je moguće naknadno osnivanje mehanizma za rodnu ravnopravnost ukoliko grad/opština nemaju formirano ovo telo?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 Javni poziv mogu da se prijave samo jedinice lokalne samouprave koje imaju osnovan mehanizam za rodnu ravnopravnost (Komisija, Savet, Odbor i sl. ili lice koje je imenovano da obavlja te poslove). Dakle, ova odluka/imenovanje mora postojati pre datuma isteka roka za podnošenje predloga projekata. Sve lokalne samouprave koje do 12. oktobra 2020. godine osnuju mehanizam za rodnu ravnopravnost, mogu da podnesu predlog projekta.</w:t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P2: Budući da je novi Zakon o javnim nabavkama na snazi od 1. jula 2020. godine, da li Uputstvo o sprovođenju javnih nabavki možemo da dobijemo pre nego što se donese odluka o finansiranju po Javnom pozivu?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O2: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Budući da je podnosilac projekta lokalna samouprava, sve javne nabavke sprovodiće se u skladu sa Zakonom o javnim nabavkama Republike Srbije.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P3: Poseban namenski račun za lokalne samouprave uvek bude problem za finansije. 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O3: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Otvaranje posebnog namenskog računa za realizaciju projektnih aktivnosti je dugogodišnja praksa međunarodnih donatora, i za sada, jedina mogućnost predviđena Ugovorom o donaciji. Ipak, UNOPS kontinuirano ulaže napore da se procesno omogući uplata sredstava na uplatni račun javnih prihoda što bi bilo u potpunosti u skladu sa nacionalnim finansijskim regulativama, što trenutno nije moguće usled određenih administrativnih prepreka. Svakako, svi detalji u vezi sa mogućnošću otvaranja namenskog računa i prenosom sredstava biće iskomunicirani sa lokalnim samoupravama čiji predlozi projekata budu izabrani za finansiranje pre potpisivanja Ugovora o donaciji. </w:t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P4: Da li u mehanizam za rodnu ravnopravnost spada i oformljena Komisija za rodnu ravnopravnost (imenovana od strane Skupštine)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O4: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Da, svako institucionalno rešenje koje se odnosi na bavljenje pitanjima rodne ravnopravnosti.</w:t>
      </w:r>
    </w:p>
    <w:p w:rsidR="00000000" w:rsidDel="00000000" w:rsidP="00000000" w:rsidRDefault="00000000" w:rsidRPr="00000000" w14:paraId="0000001B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shd w:fill="cc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color w:val="202124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shd w:fill="cccccc" w:val="clear"/>
          <w:rtl w:val="0"/>
        </w:rPr>
        <w:t xml:space="preserve">P5: </w:t>
      </w:r>
      <w:r w:rsidDel="00000000" w:rsidR="00000000" w:rsidRPr="00000000">
        <w:rPr>
          <w:rFonts w:ascii="Calibri" w:cs="Calibri" w:eastAsia="Calibri" w:hAnsi="Calibri"/>
          <w:b w:val="1"/>
          <w:color w:val="202124"/>
          <w:shd w:fill="cccccc" w:val="clear"/>
          <w:rtl w:val="0"/>
        </w:rPr>
        <w:t xml:space="preserve">Da li se sredstva mogu dodeljivati fizičkim licima ili mora biti reč o vlasnicama poljoprivrednih gazdinstava?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O5: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Poželjno je da to budu pravna lica. Svakako nije zabranjeno dodeljivanje fizičkim licima uz jasno postavljanje kriterijuma za odabir tih lica.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P6: Da li mora da se izabere samo jedna tematska oblast ili može i više? 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O6: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Predlog projekta može obuhvatiti aktivnosti koje se odnose na više oblasti, s tim da prilikom planiranja treba imati u vidu period trajanja projektnih aktivnosti.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before="0" w:line="276" w:lineRule="auto"/>
        <w:ind w:left="0" w:firstLine="0"/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P7: Koliki je ukupan iznos granta ukoliko se konkuriše sa drugom opštinom?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O7: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I u ovom slučaju ukupna vrednost projekta ne sme biti veća od sume pojedinačnih projekata kada opština konkuriše samostalno. Dakle, maksimalno 4.000 američkih dolara.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P8: Od kada do kada je planirana realizacija projekata? 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O8: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Sprovođenje projektnih aktivnosti može da traje najmanje 6 (šest) meseci, a najviše 8 (osam) meseci, od datuma potpisivanja ugovora o dodeli bespovratnih sredstava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. Potpisivanje ugovora je planirano za mesec decembar.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P9:Ukoliko je u toku izrada LAP-a za RR, a još uvek nije usvojen, šta priložiti u tom slučaju?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O9: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Budući da postojanje LAP-a nije obavezno, odluku o usvajanju ovog dokumenta prilažu samo JLS koje imaju usvojen LAP. Obavezan dokument za sve JLS je odluka o osnivanju/imenovanju mehanizma za rodnu ravnopravnost.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P10: Da li je eksterna revizija obavezna? 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O10: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Ne, kontrolu svih dokumenata vrši UNOPS, i trošak eksterne revizije nije prihvatljiv trošak.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P11: Koliko ukupno projekata može da bude odobreno u odnosu na ukupan fond? 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O11: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Program će podržati najviše 30 projekata.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P12:Maksimalan iznos (procenat u odnosu na ukupan budžet) za ljudske resurse? 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O12: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Prilikom određivanja troškova ljudskih resursa treba da se vodi računa koliko je to u funkciji  realizacije aktivnosti odnosno postizanja rezultata projekta kao krajnjem cilju koji zapravo opravdava sve 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troškove u budžetu, pa i ovaj namenjen za ljudske resurse. Naime, iako donatori nerado podržavaju velike procente od ukupnog budžeta koji bi bili opredeljeni za ljudske resurse, odnosno najčešće pristaju na 30% od ukupnog budžeta, ipak se prilikom evaluacije gleda svrsishodnost opredeljenih troškova. Zavisno od teme projekta, ukoliko se u predlogu projekta dokaže da je angažovanje ljudskih resursa sa opredeljnim troškovima potrebno za pravilno funkcionisanje projekta, to će i viši procenat od 30% biti apsolutno prihvatljiv. 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P13: Koji kurs koristimo za planiranje budžeta za deo koji finansira Swiss PRO, a koji za naše učešće? 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O13: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Š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to se tiče kursa Swiss PRO programa, možete nam se obratiti u toku sastavljanja budžeta i mi ćemo Vam reći kurs za taj mesec u kome pišete predlog projetka (budžet). Za učešće JLS, SREDNJI KURS NBS na dan kada pripremate budžet.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P14: Budžet se iskazuje isključivo u dolarima? 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O14: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Da, budžet se iskazuje isključivo u dolarima.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P15: Da li se dodatno boduju JLS koje su već sprovodile projekte u vezi sa rodnom ravnopravnošću? 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O15: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Da, ovo je jedan od operativnih kriterijuma za evaluaciju projekata. Molimo Vas da pogledate Odeljak 6 Javnog poziva.</w:t>
      </w:r>
    </w:p>
    <w:p w:rsidR="00000000" w:rsidDel="00000000" w:rsidP="00000000" w:rsidRDefault="00000000" w:rsidRPr="00000000" w14:paraId="0000004B">
      <w:pPr>
        <w:shd w:fill="ffffff" w:val="clear"/>
        <w:spacing w:after="0" w:before="0" w:line="276" w:lineRule="auto"/>
        <w:ind w:left="0" w:firstLine="0"/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P16: Opština radi rodno osetljive indikatore pri izradi budžeta već dve godine. Šta priložiti kao dokaz? 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O16: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Podatak možete navesti u prijavi za predlog projekta, uz, na primer, link ka dokumentu gde se to može i proveriti. 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P17:Opština kroz udruženje finansira rad SOS kancelarije za pomoć ženama u situaciji nasilja. Da li se to može predstaviti kao učešće opštine? </w:t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O17: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Uplata sredstava na zajednički račun, namenski otvoren za potrebe sprovođenja projekta, predstavlja jedini prihvatljiv način finansijskog učešća opštine.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P18: Ko je potpisnik ugovora? Predsednik opštine ili imenovano lice za MRR? 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O18: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Predsednik opštine. Predlog projekta podnosi JLS, a MRR je zadužen za sprovođenje projekta.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P19: Da li se međuopštinskom saradnjom smatra saradnja JLS i Udruženja žena iz druge JLS, ili moraju sarađivati isključivo dve JLS? 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O19: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Pod međuopštinskom saradnjom smatramo saradnju dva ili više mehanizama za rodnu ravnopravnost iz dve ili više JLS.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P20: Da li finansiranje ljudskih resursa uključuje i troškove za eksterne stručnjake? 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O20: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Ne. Troškovi spoljnih eksperata planiraju se kao usluga, budžetska linija 4 budžeta projekta - ostali troškovi/usluge.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P20: Da li je moguće u budžet uključiti troškove reklame na Facebook-u i Instagram-u? 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O20: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Da. Imajte u vidu pravdanje sredstava u smislu neophodne dokumentacije - profakture/fakture, kao i izveštaj o efektima oglašavanja (Facebook Insight/Ads Manager). 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P21: Da li zaposleni u javnim ustanovama mogu biti plaćeni iz projekta? </w:t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O21: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Zaposleni u JLS ne mogu biti plaćeni iz projekta, dok zaposleni u nekoj drugoj javnoj ustanovi (npr. Centar za socijalni rad, Dom zdravlja) mogu biti plaćeni do 30% od njihove zarade u skladu sa važećim zakonom, isključivo ukoliko je to opravdano i u funkciji sprovođenja aktivnosti i ostvarivanja rezultata projekta. 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P22: Da li se prateća dokumentacija prevodi na engleski jezik (odluke, LAP, i sl.)? </w:t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O22: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Ne, ova dokumentacija se ne prevodi.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P23: Da li zaposleni u JLS mogu biti plaćeni kroz aktivnosti projekta, npr. kao akreditovani predavači? 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O23: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Nažalost, zaposleni u JLS ne mogu biti plaćeni iz projekta ni u tom slučaju.</w:t>
      </w:r>
      <w:r w:rsidDel="00000000" w:rsidR="00000000" w:rsidRPr="00000000">
        <w:rPr>
          <w:rFonts w:ascii="Calibri" w:cs="Calibri" w:eastAsia="Calibri" w:hAnsi="Calibri"/>
          <w:color w:val="202124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color w:val="202124"/>
          <w:shd w:fill="d9d9d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shd w:fill="d9d9d9" w:val="clear"/>
          <w:rtl w:val="0"/>
        </w:rPr>
        <w:t xml:space="preserve">P24: Da li menadžer projekta mora biti lice iz usvojenog MRR? 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4"/>
          <w:highlight w:val="white"/>
          <w:rtl w:val="0"/>
        </w:rPr>
        <w:t xml:space="preserve">O24:</w:t>
      </w:r>
      <w:r w:rsidDel="00000000" w:rsidR="00000000" w:rsidRPr="00000000">
        <w:rPr>
          <w:rFonts w:ascii="Calibri" w:cs="Calibri" w:eastAsia="Calibri" w:hAnsi="Calibri"/>
          <w:color w:val="202124"/>
          <w:highlight w:val="white"/>
          <w:rtl w:val="0"/>
        </w:rPr>
        <w:t xml:space="preserve"> Članovi i članice MRR biće zaduženi za sprovođenje projekta, samim tim treba da budu deo projektnog tima. Svakako, u projektnom timu mogu biti i druga lica iz JLS koja će učestvovati u sprovođenju projektnih aktivnosti i ugovornih obaveza. U tom smislu, menadžer/ka projekta može biti ili neko iz MRR ili iz LS.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hd w:fill="ffffff" w:val="clear"/>
      <w:spacing w:line="240" w:lineRule="auto"/>
      <w:jc w:val="center"/>
      <w:rPr>
        <w:rFonts w:ascii="Calibri" w:cs="Calibri" w:eastAsia="Calibri" w:hAnsi="Calibri"/>
        <w:color w:val="808080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18"/>
        <w:szCs w:val="18"/>
        <w:rtl w:val="0"/>
      </w:rPr>
      <w:t xml:space="preserve">Podrška Vlade Švajcarske razvoju opština kroz unapređenje dobrog upravljanja i socijalne uključenosti – Swiss PRO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shd w:fill="ffffff" w:val="clear"/>
      <w:spacing w:line="240" w:lineRule="auto"/>
      <w:jc w:val="center"/>
      <w:rPr>
        <w:rFonts w:ascii="Calibri" w:cs="Calibri" w:eastAsia="Calibri" w:hAnsi="Calibri"/>
        <w:color w:val="80808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808080"/>
        <w:sz w:val="18"/>
        <w:szCs w:val="18"/>
        <w:rtl w:val="0"/>
      </w:rPr>
      <w:t xml:space="preserve">Program Swiss PRO  podržava Vlada Švajcarske u saradnji sa Vladom Srbije, a sprovodi UNOPS u partnerstvu sa SKGO</w:t>
    </w:r>
  </w:p>
  <w:p w:rsidR="00000000" w:rsidDel="00000000" w:rsidP="00000000" w:rsidRDefault="00000000" w:rsidRPr="00000000" w14:paraId="0000007B">
    <w:pPr>
      <w:shd w:fill="ffffff" w:val="clear"/>
      <w:spacing w:line="240" w:lineRule="auto"/>
      <w:jc w:val="center"/>
      <w:rPr/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808080"/>
          <w:sz w:val="18"/>
          <w:szCs w:val="18"/>
          <w:u w:val="single"/>
          <w:rtl w:val="0"/>
        </w:rPr>
        <w:t xml:space="preserve">www.swisspro.org</w:t>
      </w:r>
    </w:hyperlink>
    <w:r w:rsidDel="00000000" w:rsidR="00000000" w:rsidRPr="00000000">
      <w:rPr>
        <w:rFonts w:ascii="Calibri" w:cs="Calibri" w:eastAsia="Calibri" w:hAnsi="Calibri"/>
        <w:b w:val="1"/>
        <w:color w:val="808080"/>
        <w:sz w:val="18"/>
        <w:szCs w:val="18"/>
        <w:u w:val="single"/>
        <w:rtl w:val="0"/>
      </w:rPr>
      <w:t xml:space="preserve">.rs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-771521</wp:posOffset>
          </wp:positionH>
          <wp:positionV relativeFrom="paragraph">
            <wp:posOffset>-457196</wp:posOffset>
          </wp:positionV>
          <wp:extent cx="7488778" cy="9286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88" r="88" t="27067"/>
                  <a:stretch>
                    <a:fillRect/>
                  </a:stretch>
                </pic:blipFill>
                <pic:spPr>
                  <a:xfrm>
                    <a:off x="0" y="0"/>
                    <a:ext cx="7488778" cy="928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wisspro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