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72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ind w:left="72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after="0" w:before="0" w:line="240" w:lineRule="auto"/>
        <w:ind w:left="72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Javni poziv za podršku jedinicama lokalne samouprave</w:t>
      </w:r>
    </w:p>
    <w:p w:rsidR="00000000" w:rsidDel="00000000" w:rsidP="00000000" w:rsidRDefault="00000000" w:rsidRPr="00000000" w14:paraId="00000004">
      <w:pPr>
        <w:spacing w:after="0" w:before="0" w:line="240" w:lineRule="auto"/>
        <w:ind w:left="72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za sprovođenje i razvoj usluga socijalne zaštite</w:t>
      </w:r>
    </w:p>
    <w:p w:rsidR="00000000" w:rsidDel="00000000" w:rsidP="00000000" w:rsidRDefault="00000000" w:rsidRPr="00000000" w14:paraId="00000005">
      <w:pPr>
        <w:spacing w:after="0" w:before="0"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before="0" w:line="240" w:lineRule="auto"/>
        <w:ind w:left="0" w:firstLine="0"/>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both"/>
        <w:rPr>
          <w:rFonts w:ascii="Calibri" w:cs="Calibri" w:eastAsia="Calibri" w:hAnsi="Calibri"/>
          <w:b w:val="1"/>
          <w:color w:val="727376"/>
          <w:highlight w:val="white"/>
        </w:rPr>
      </w:pPr>
      <w:r w:rsidDel="00000000" w:rsidR="00000000" w:rsidRPr="00000000">
        <w:rPr>
          <w:rFonts w:ascii="Calibri" w:cs="Calibri" w:eastAsia="Calibri" w:hAnsi="Calibri"/>
          <w:b w:val="1"/>
          <w:sz w:val="24"/>
          <w:szCs w:val="24"/>
          <w:highlight w:val="white"/>
          <w:rtl w:val="0"/>
        </w:rPr>
        <w:t xml:space="preserve">Najčešća pitanja i odgovori:</w:t>
      </w:r>
      <w:r w:rsidDel="00000000" w:rsidR="00000000" w:rsidRPr="00000000">
        <w:rPr>
          <w:rtl w:val="0"/>
        </w:rPr>
      </w:r>
    </w:p>
    <w:p w:rsidR="00000000" w:rsidDel="00000000" w:rsidP="00000000" w:rsidRDefault="00000000" w:rsidRPr="00000000" w14:paraId="00000008">
      <w:pPr>
        <w:spacing w:after="0" w:before="0" w:line="240" w:lineRule="auto"/>
        <w:ind w:left="0" w:firstLine="0"/>
        <w:jc w:val="both"/>
        <w:rPr>
          <w:rFonts w:ascii="Calibri" w:cs="Calibri" w:eastAsia="Calibri" w:hAnsi="Calibri"/>
          <w:b w:val="1"/>
          <w:color w:val="727376"/>
          <w:highlight w:val="white"/>
        </w:rPr>
      </w:pPr>
      <w:r w:rsidDel="00000000" w:rsidR="00000000" w:rsidRPr="00000000">
        <w:rPr>
          <w:rtl w:val="0"/>
        </w:rPr>
      </w:r>
    </w:p>
    <w:p w:rsidR="00000000" w:rsidDel="00000000" w:rsidP="00000000" w:rsidRDefault="00000000" w:rsidRPr="00000000" w14:paraId="00000009">
      <w:pPr>
        <w:spacing w:after="0" w:before="0" w:line="240" w:lineRule="auto"/>
        <w:ind w:left="0" w:firstLine="0"/>
        <w:jc w:val="both"/>
        <w:rPr>
          <w:rFonts w:ascii="Calibri" w:cs="Calibri" w:eastAsia="Calibri" w:hAnsi="Calibri"/>
          <w:b w:val="1"/>
          <w:color w:val="ff0000"/>
          <w:highlight w:val="white"/>
        </w:rPr>
      </w:pPr>
      <w:r w:rsidDel="00000000" w:rsidR="00000000" w:rsidRPr="00000000">
        <w:rPr>
          <w:rFonts w:ascii="Calibri" w:cs="Calibri" w:eastAsia="Calibri" w:hAnsi="Calibri"/>
          <w:b w:val="1"/>
          <w:color w:val="ff0000"/>
          <w:highlight w:val="white"/>
          <w:rtl w:val="0"/>
        </w:rPr>
        <w:t xml:space="preserve">Ažurirano: 23. aprila 2020.</w:t>
      </w:r>
    </w:p>
    <w:p w:rsidR="00000000" w:rsidDel="00000000" w:rsidP="00000000" w:rsidRDefault="00000000" w:rsidRPr="00000000" w14:paraId="0000000A">
      <w:pPr>
        <w:spacing w:after="0" w:before="0" w:line="240" w:lineRule="auto"/>
        <w:ind w:left="0" w:firstLine="0"/>
        <w:jc w:val="both"/>
        <w:rPr>
          <w:rFonts w:ascii="Calibri" w:cs="Calibri" w:eastAsia="Calibri" w:hAnsi="Calibri"/>
          <w:b w:val="1"/>
          <w:color w:val="ff0000"/>
          <w:highlight w:val="white"/>
        </w:rPr>
      </w:pPr>
      <w:r w:rsidDel="00000000" w:rsidR="00000000" w:rsidRPr="00000000">
        <w:rPr>
          <w:rtl w:val="0"/>
        </w:rPr>
      </w:r>
    </w:p>
    <w:p w:rsidR="00000000" w:rsidDel="00000000" w:rsidP="00000000" w:rsidRDefault="00000000" w:rsidRPr="00000000" w14:paraId="0000000B">
      <w:pPr>
        <w:spacing w:after="0" w:before="0" w:line="240"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0" w:before="0" w:line="276" w:lineRule="auto"/>
        <w:ind w:left="0" w:firstLine="0"/>
        <w:jc w:val="both"/>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P1: Ukoliko je lokalna samouprava već sprovela postupak javne nabavke za usluge socijalne zaštite, kako će da sprovede novi postupak nakon potpisivanja ugovora o bespovratnim sredstvima?</w:t>
      </w:r>
    </w:p>
    <w:p w:rsidR="00000000" w:rsidDel="00000000" w:rsidP="00000000" w:rsidRDefault="00000000" w:rsidRPr="00000000" w14:paraId="0000000D">
      <w:pPr>
        <w:spacing w:after="0" w:before="0" w:line="276"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O1:</w:t>
      </w:r>
      <w:r w:rsidDel="00000000" w:rsidR="00000000" w:rsidRPr="00000000">
        <w:rPr>
          <w:rFonts w:ascii="Calibri" w:cs="Calibri" w:eastAsia="Calibri" w:hAnsi="Calibri"/>
          <w:rtl w:val="0"/>
        </w:rPr>
        <w:t xml:space="preserve"> Lokalna samouprava može raspisati novi postupak s obzirom da ima dodatna sredstva, kao i da će se raditi o novim korisnicima, čak i u slučaju iste usluge za koju je već završena javna nabavka.</w:t>
      </w:r>
    </w:p>
    <w:p w:rsidR="00000000" w:rsidDel="00000000" w:rsidP="00000000" w:rsidRDefault="00000000" w:rsidRPr="00000000" w14:paraId="0000000F">
      <w:pPr>
        <w:spacing w:after="0" w:before="0"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before="0" w:line="276" w:lineRule="auto"/>
        <w:ind w:left="0" w:firstLine="0"/>
        <w:jc w:val="both"/>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P2: Ukoliko lokalna samouprava u okviru projekta nabavlja gorivo, opremu i materijal, te pokriva kancelarijske troškove iz sredstava projekta, na koji način će se pokriti troškovi ljudskih resursa odabranog pružaoca usluge odnosno na koji način da se sprovede takav postupak javne nabavke?</w:t>
      </w:r>
    </w:p>
    <w:p w:rsidR="00000000" w:rsidDel="00000000" w:rsidP="00000000" w:rsidRDefault="00000000" w:rsidRPr="00000000" w14:paraId="00000011">
      <w:pPr>
        <w:spacing w:after="0"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O2: </w:t>
      </w:r>
      <w:r w:rsidDel="00000000" w:rsidR="00000000" w:rsidRPr="00000000">
        <w:rPr>
          <w:rFonts w:ascii="Calibri" w:cs="Calibri" w:eastAsia="Calibri" w:hAnsi="Calibri"/>
          <w:rtl w:val="0"/>
        </w:rPr>
        <w:t xml:space="preserve">Potrebno je da lokalna samouprava u postupku nabavke odredi specifikaciju šta tačno od troškova lokalna samouprava može da obezbedi, te će se od ponuđača odnosno pružaoca usluge tražiti da postavi cenu samo za ljudske resurse. Napomena: ljudski resursi su uključeni u okviru cene pružanja usluge i prikazuju se na budžetskoj liniji br. 5.</w:t>
      </w:r>
    </w:p>
    <w:p w:rsidR="00000000" w:rsidDel="00000000" w:rsidP="00000000" w:rsidRDefault="00000000" w:rsidRPr="00000000" w14:paraId="00000013">
      <w:pPr>
        <w:spacing w:after="0"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after="0" w:before="0" w:line="276" w:lineRule="auto"/>
        <w:ind w:left="0" w:firstLine="0"/>
        <w:jc w:val="both"/>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P3: Da li međuopštinska saradnja podrazumeva duplirana sredstva?</w:t>
      </w:r>
    </w:p>
    <w:p w:rsidR="00000000" w:rsidDel="00000000" w:rsidP="00000000" w:rsidRDefault="00000000" w:rsidRPr="00000000" w14:paraId="00000015">
      <w:pPr>
        <w:spacing w:after="0"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O3:</w:t>
      </w:r>
      <w:r w:rsidDel="00000000" w:rsidR="00000000" w:rsidRPr="00000000">
        <w:rPr>
          <w:rFonts w:ascii="Calibri" w:cs="Calibri" w:eastAsia="Calibri" w:hAnsi="Calibri"/>
          <w:rtl w:val="0"/>
        </w:rPr>
        <w:t xml:space="preserve"> Ne, jer bi se na taj način obesmislila svrha međuopštinske saradnje.</w:t>
      </w:r>
    </w:p>
    <w:p w:rsidR="00000000" w:rsidDel="00000000" w:rsidP="00000000" w:rsidRDefault="00000000" w:rsidRPr="00000000" w14:paraId="00000017">
      <w:pPr>
        <w:spacing w:after="0"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0" w:before="0" w:line="276" w:lineRule="auto"/>
        <w:ind w:left="0" w:firstLine="0"/>
        <w:jc w:val="both"/>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P4: S obzirom na to da lokalna samouprava, kao podnosilac projekta, jedino može da se oslobodi PDV-a, da li to znači da se nikakva sredstva ne mogu prebaciti udruženju koje bude odabrano kao pružalac usluge?</w:t>
      </w:r>
    </w:p>
    <w:p w:rsidR="00000000" w:rsidDel="00000000" w:rsidP="00000000" w:rsidRDefault="00000000" w:rsidRPr="00000000" w14:paraId="00000019">
      <w:pPr>
        <w:spacing w:after="0"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O4:</w:t>
      </w:r>
      <w:r w:rsidDel="00000000" w:rsidR="00000000" w:rsidRPr="00000000">
        <w:rPr>
          <w:rFonts w:ascii="Calibri" w:cs="Calibri" w:eastAsia="Calibri" w:hAnsi="Calibri"/>
          <w:rtl w:val="0"/>
        </w:rPr>
        <w:t xml:space="preserve"> Udruženju ili drugom pružaocu usluga se mogu isključivo prebaciti sredstva za ljudske resurse, s obzirom da tu nema PDV-a već se pored zarade plaćaju pripadajući porezi doprinosi.</w:t>
      </w:r>
    </w:p>
    <w:p w:rsidR="00000000" w:rsidDel="00000000" w:rsidP="00000000" w:rsidRDefault="00000000" w:rsidRPr="00000000" w14:paraId="0000001B">
      <w:pPr>
        <w:spacing w:after="0" w:before="0"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before="0" w:line="276" w:lineRule="auto"/>
        <w:ind w:left="0" w:firstLine="0"/>
        <w:jc w:val="both"/>
        <w:rPr>
          <w:rFonts w:ascii="Calibri" w:cs="Calibri" w:eastAsia="Calibri" w:hAnsi="Calibri"/>
          <w:b w:val="1"/>
          <w:color w:val="202124"/>
          <w:shd w:fill="cccccc" w:val="clear"/>
        </w:rPr>
      </w:pPr>
      <w:r w:rsidDel="00000000" w:rsidR="00000000" w:rsidRPr="00000000">
        <w:rPr>
          <w:rFonts w:ascii="Calibri" w:cs="Calibri" w:eastAsia="Calibri" w:hAnsi="Calibri"/>
          <w:b w:val="1"/>
          <w:shd w:fill="cccccc" w:val="clear"/>
          <w:rtl w:val="0"/>
        </w:rPr>
        <w:t xml:space="preserve">P5: </w:t>
      </w:r>
      <w:r w:rsidDel="00000000" w:rsidR="00000000" w:rsidRPr="00000000">
        <w:rPr>
          <w:rFonts w:ascii="Calibri" w:cs="Calibri" w:eastAsia="Calibri" w:hAnsi="Calibri"/>
          <w:b w:val="1"/>
          <w:color w:val="202124"/>
          <w:shd w:fill="cccccc" w:val="clear"/>
          <w:rtl w:val="0"/>
        </w:rPr>
        <w:t xml:space="preserve">Ako kao saradnika/partnera predvidimo Dom zdravlja i planiramo posete tima lekara/sestara korisnicima usluge pomoć u kući, da li se mogu planirati honorari lekarima/sestrama?</w:t>
      </w:r>
    </w:p>
    <w:p w:rsidR="00000000" w:rsidDel="00000000" w:rsidP="00000000" w:rsidRDefault="00000000" w:rsidRPr="00000000" w14:paraId="0000001D">
      <w:pPr>
        <w:spacing w:after="0" w:before="0" w:line="276" w:lineRule="auto"/>
        <w:ind w:left="0" w:firstLine="0"/>
        <w:jc w:val="both"/>
        <w:rPr>
          <w:rFonts w:ascii="Calibri" w:cs="Calibri" w:eastAsia="Calibri" w:hAnsi="Calibri"/>
          <w:b w:val="1"/>
          <w:color w:val="202124"/>
          <w:shd w:fill="cccccc" w:val="clear"/>
        </w:rPr>
      </w:pPr>
      <w:r w:rsidDel="00000000" w:rsidR="00000000" w:rsidRPr="00000000">
        <w:rPr>
          <w:rtl w:val="0"/>
        </w:rPr>
      </w:r>
    </w:p>
    <w:p w:rsidR="00000000" w:rsidDel="00000000" w:rsidP="00000000" w:rsidRDefault="00000000" w:rsidRPr="00000000" w14:paraId="0000001E">
      <w:pPr>
        <w:spacing w:after="0" w:before="0" w:line="276" w:lineRule="auto"/>
        <w:ind w:left="0" w:firstLine="0"/>
        <w:jc w:val="both"/>
        <w:rPr>
          <w:rFonts w:ascii="Calibri" w:cs="Calibri" w:eastAsia="Calibri" w:hAnsi="Calibri"/>
          <w:color w:val="202124"/>
          <w:highlight w:val="white"/>
        </w:rPr>
      </w:pPr>
      <w:r w:rsidDel="00000000" w:rsidR="00000000" w:rsidRPr="00000000">
        <w:rPr>
          <w:rFonts w:ascii="Calibri" w:cs="Calibri" w:eastAsia="Calibri" w:hAnsi="Calibri"/>
          <w:b w:val="1"/>
          <w:color w:val="202124"/>
          <w:highlight w:val="white"/>
          <w:rtl w:val="0"/>
        </w:rPr>
        <w:t xml:space="preserve">O5: </w:t>
      </w:r>
      <w:r w:rsidDel="00000000" w:rsidR="00000000" w:rsidRPr="00000000">
        <w:rPr>
          <w:rFonts w:ascii="Calibri" w:cs="Calibri" w:eastAsia="Calibri" w:hAnsi="Calibri"/>
          <w:color w:val="202124"/>
          <w:highlight w:val="white"/>
          <w:rtl w:val="0"/>
        </w:rPr>
        <w:t xml:space="preserve">Može sa programske strane, uz proveru da je dozvoljeno da medicinski radnici dobijaju određeni procenat preko svoje zarade.</w:t>
      </w:r>
    </w:p>
    <w:p w:rsidR="00000000" w:rsidDel="00000000" w:rsidP="00000000" w:rsidRDefault="00000000" w:rsidRPr="00000000" w14:paraId="0000001F">
      <w:pP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tl w:val="0"/>
        </w:rPr>
      </w:r>
    </w:p>
    <w:p w:rsidR="00000000" w:rsidDel="00000000" w:rsidP="00000000" w:rsidRDefault="00000000" w:rsidRPr="00000000" w14:paraId="00000020">
      <w:pP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tl w:val="0"/>
        </w:rPr>
      </w:r>
    </w:p>
    <w:p w:rsidR="00000000" w:rsidDel="00000000" w:rsidP="00000000" w:rsidRDefault="00000000" w:rsidRPr="00000000" w14:paraId="00000021">
      <w:pP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tl w:val="0"/>
        </w:rPr>
      </w:r>
    </w:p>
    <w:p w:rsidR="00000000" w:rsidDel="00000000" w:rsidP="00000000" w:rsidRDefault="00000000" w:rsidRPr="00000000" w14:paraId="00000022">
      <w:pP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Fonts w:ascii="Calibri" w:cs="Calibri" w:eastAsia="Calibri" w:hAnsi="Calibri"/>
          <w:b w:val="1"/>
          <w:color w:val="202124"/>
          <w:shd w:fill="d9d9d9" w:val="clear"/>
          <w:rtl w:val="0"/>
        </w:rPr>
        <w:t xml:space="preserve">P6: Ukoliko je odabrani pružalac usluge u sistemu PDV, on u fakturi mora da iskaže PDV, te bi morali da oslobađamo takve predračune od PDV-a. </w:t>
      </w:r>
    </w:p>
    <w:p w:rsidR="00000000" w:rsidDel="00000000" w:rsidP="00000000" w:rsidRDefault="00000000" w:rsidRPr="00000000" w14:paraId="00000023">
      <w:pPr>
        <w:spacing w:after="0" w:before="0" w:line="276" w:lineRule="auto"/>
        <w:ind w:left="0" w:firstLine="0"/>
        <w:jc w:val="both"/>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4">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O6:</w:t>
      </w:r>
      <w:r w:rsidDel="00000000" w:rsidR="00000000" w:rsidRPr="00000000">
        <w:rPr>
          <w:rFonts w:ascii="Calibri" w:cs="Calibri" w:eastAsia="Calibri" w:hAnsi="Calibri"/>
          <w:color w:val="202124"/>
          <w:highlight w:val="white"/>
          <w:rtl w:val="0"/>
        </w:rPr>
        <w:t xml:space="preserve"> U skladu sa odredbom čl. 25 stav 2 tačka 11 Zakona o porezu na dodatu vrednost, PDV se ne plaća na promet usluga socijalnog staranja i zaštite, dečije zaštite i zaštite mladih, usluga ustanove socijalne zaštite, kao i sa njima neposredno povezanog prometa dobara i usluga od strane lica registrovanih za obavljanje tih delatnosti. Dodatno, ionako će lokalna samouprava da nabavi skoro sve osim ljudskih resursa gde se inače plaća samo zarada sa pripadajućim porezima i doprinosima.</w:t>
      </w:r>
      <w:r w:rsidDel="00000000" w:rsidR="00000000" w:rsidRPr="00000000">
        <w:rPr>
          <w:rtl w:val="0"/>
        </w:rPr>
      </w:r>
    </w:p>
    <w:p w:rsidR="00000000" w:rsidDel="00000000" w:rsidP="00000000" w:rsidRDefault="00000000" w:rsidRPr="00000000" w14:paraId="00000025">
      <w:pPr>
        <w:spacing w:after="0" w:before="0"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before="0" w:line="276" w:lineRule="auto"/>
        <w:ind w:left="0" w:firstLine="0"/>
        <w:rPr>
          <w:rFonts w:ascii="Calibri" w:cs="Calibri" w:eastAsia="Calibri" w:hAnsi="Calibri"/>
          <w:b w:val="1"/>
          <w:color w:val="202124"/>
          <w:shd w:fill="d9d9d9" w:val="clear"/>
        </w:rPr>
      </w:pPr>
      <w:r w:rsidDel="00000000" w:rsidR="00000000" w:rsidRPr="00000000">
        <w:rPr>
          <w:rFonts w:ascii="Calibri" w:cs="Calibri" w:eastAsia="Calibri" w:hAnsi="Calibri"/>
          <w:b w:val="1"/>
          <w:color w:val="202124"/>
          <w:shd w:fill="d9d9d9" w:val="clear"/>
          <w:rtl w:val="0"/>
        </w:rPr>
        <w:t xml:space="preserve">P7: Kada se otpilike mogu očekivati odluke odnosno ugovori o dodeli bespovratnih sredstava s obzirom da se primena novog Zakona o javnim nabavkama očekuje od 1. jula 2020.? </w:t>
      </w:r>
    </w:p>
    <w:p w:rsidR="00000000" w:rsidDel="00000000" w:rsidP="00000000" w:rsidRDefault="00000000" w:rsidRPr="00000000" w14:paraId="00000027">
      <w:pPr>
        <w:shd w:fill="ffffff" w:val="clear"/>
        <w:spacing w:after="0" w:before="0" w:line="276" w:lineRule="auto"/>
        <w:ind w:left="0" w:firstLine="0"/>
        <w:rPr>
          <w:rFonts w:ascii="Calibri" w:cs="Calibri" w:eastAsia="Calibri" w:hAnsi="Calibri"/>
          <w:b w:val="1"/>
          <w:color w:val="202124"/>
          <w:shd w:fill="d9d9d9" w:val="clear"/>
        </w:rPr>
      </w:pPr>
      <w:r w:rsidDel="00000000" w:rsidR="00000000" w:rsidRPr="00000000">
        <w:rPr>
          <w:rtl w:val="0"/>
        </w:rPr>
      </w:r>
    </w:p>
    <w:p w:rsidR="00000000" w:rsidDel="00000000" w:rsidP="00000000" w:rsidRDefault="00000000" w:rsidRPr="00000000" w14:paraId="00000028">
      <w:pPr>
        <w:shd w:fill="ffffff" w:val="clear"/>
        <w:spacing w:after="0" w:before="0" w:line="276" w:lineRule="auto"/>
        <w:ind w:left="0" w:firstLine="0"/>
        <w:jc w:val="both"/>
        <w:rPr>
          <w:rFonts w:ascii="Calibri" w:cs="Calibri" w:eastAsia="Calibri" w:hAnsi="Calibri"/>
          <w:color w:val="202124"/>
          <w:highlight w:val="white"/>
        </w:rPr>
      </w:pPr>
      <w:r w:rsidDel="00000000" w:rsidR="00000000" w:rsidRPr="00000000">
        <w:rPr>
          <w:rFonts w:ascii="Calibri" w:cs="Calibri" w:eastAsia="Calibri" w:hAnsi="Calibri"/>
          <w:b w:val="1"/>
          <w:color w:val="202124"/>
          <w:highlight w:val="white"/>
          <w:rtl w:val="0"/>
        </w:rPr>
        <w:t xml:space="preserve">O7: </w:t>
      </w:r>
      <w:r w:rsidDel="00000000" w:rsidR="00000000" w:rsidRPr="00000000">
        <w:rPr>
          <w:rFonts w:ascii="Calibri" w:cs="Calibri" w:eastAsia="Calibri" w:hAnsi="Calibri"/>
          <w:color w:val="202124"/>
          <w:highlight w:val="white"/>
          <w:rtl w:val="0"/>
        </w:rPr>
        <w:t xml:space="preserve">Prvobitan plan je bio da ugovori započnu od 1. juna 2020. Međutim, zbog novonastale situacije sa korona virusom, rok za podnošenje zahteva produžiće se do 11. maja, što znači da se ugovori mogu očekivati u julu ili avgustu mesecu. Javni poziv jasno određuje da se moraju poštovati važeći zakonski propisi u momentu raspisivanja javne nabavke.</w:t>
      </w:r>
    </w:p>
    <w:p w:rsidR="00000000" w:rsidDel="00000000" w:rsidP="00000000" w:rsidRDefault="00000000" w:rsidRPr="00000000" w14:paraId="00000029">
      <w:pPr>
        <w:shd w:fill="ffffff" w:val="clear"/>
        <w:spacing w:after="0" w:before="0" w:line="276" w:lineRule="auto"/>
        <w:ind w:left="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A">
      <w:pPr>
        <w:shd w:fill="ffffff" w:val="clea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Fonts w:ascii="Calibri" w:cs="Calibri" w:eastAsia="Calibri" w:hAnsi="Calibri"/>
          <w:b w:val="1"/>
          <w:color w:val="202124"/>
          <w:shd w:fill="d9d9d9" w:val="clear"/>
          <w:rtl w:val="0"/>
        </w:rPr>
        <w:t xml:space="preserve">P8: Da li možemo angažovati Centar za socijalni rad koji  ima licencu za pružanje usluge pomoć u kući, odnosno da li može da bude planiran kao pružalac usluge?</w:t>
      </w:r>
    </w:p>
    <w:p w:rsidR="00000000" w:rsidDel="00000000" w:rsidP="00000000" w:rsidRDefault="00000000" w:rsidRPr="00000000" w14:paraId="0000002B">
      <w:pPr>
        <w:shd w:fill="ffffff" w:val="clear"/>
        <w:spacing w:after="0" w:before="0" w:line="276" w:lineRule="auto"/>
        <w:ind w:left="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C">
      <w:pPr>
        <w:shd w:fill="ffffff" w:val="clear"/>
        <w:spacing w:after="0" w:before="0" w:line="276" w:lineRule="auto"/>
        <w:ind w:left="0" w:firstLine="0"/>
        <w:jc w:val="both"/>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O8: Može. Naime, Zakon o socijalnoj zaštiti u čl. 64, uzeo je u obzir mogućnost da se usluge socijalne zaštite mogu obezbediti od strane ustanove socijalne zaštite koju je osnovala Republika Srbija, autonomna pokrajina ili JLS, bez prethodno sprovedenog postupka javne nabavke. Ipak, ovakva ustanova može pružiti navedene usluge, i to samo u okviru svoje posebne organizacione jedinice za pružanje usluga, ukoliko dobije licencu odnosno ispunjava sve uslove, i ako u lokalnoj zajednici nema drugog ovlašćenog pružaoca usluge socijalne štite (čl. 122 Zakona o socijalnoj zaštiti). Ukoliko je ovo slučaj u vašoj lokalnoj zajednici, to je sve potrebno objasniti u predlogu projekta.</w:t>
      </w:r>
    </w:p>
    <w:p w:rsidR="00000000" w:rsidDel="00000000" w:rsidP="00000000" w:rsidRDefault="00000000" w:rsidRPr="00000000" w14:paraId="0000002D">
      <w:pPr>
        <w:shd w:fill="ffffff" w:val="clear"/>
        <w:spacing w:after="0" w:before="0" w:line="276" w:lineRule="auto"/>
        <w:ind w:left="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E">
      <w:pPr>
        <w:shd w:fill="ffffff" w:val="clear"/>
        <w:spacing w:after="0" w:before="0" w:line="276" w:lineRule="auto"/>
        <w:ind w:left="0" w:firstLine="0"/>
        <w:jc w:val="both"/>
        <w:rPr>
          <w:rFonts w:ascii="Calibri" w:cs="Calibri" w:eastAsia="Calibri" w:hAnsi="Calibri"/>
          <w:b w:val="1"/>
          <w:color w:val="202124"/>
          <w:shd w:fill="d9d9d9" w:val="clear"/>
        </w:rPr>
      </w:pPr>
      <w:r w:rsidDel="00000000" w:rsidR="00000000" w:rsidRPr="00000000">
        <w:rPr>
          <w:rFonts w:ascii="Calibri" w:cs="Calibri" w:eastAsia="Calibri" w:hAnsi="Calibri"/>
          <w:b w:val="1"/>
          <w:color w:val="202124"/>
          <w:shd w:fill="d9d9d9" w:val="clear"/>
          <w:rtl w:val="0"/>
        </w:rPr>
        <w:t xml:space="preserve">P9: Koji je maksimalni iznos učešća grada ili opštine s obzirom na činjenicu da su za neke usluge potrebna mnogo veća sredstva ukoliko se želi uključuti veći broj korisnika. Npr. usluga ličnog pratioca deteta košta mesečno po detetu minimum 35.000 dinara, tako da više od 4 korisnika ne bi bilo moguće obuhvatiti ovim projektom. </w:t>
      </w:r>
    </w:p>
    <w:p w:rsidR="00000000" w:rsidDel="00000000" w:rsidP="00000000" w:rsidRDefault="00000000" w:rsidRPr="00000000" w14:paraId="0000002F">
      <w:pPr>
        <w:spacing w:after="0" w:before="0" w:line="276" w:lineRule="auto"/>
        <w:ind w:left="72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30">
      <w:pPr>
        <w:spacing w:after="0" w:before="0" w:line="276" w:lineRule="auto"/>
        <w:ind w:left="0" w:firstLine="0"/>
        <w:jc w:val="both"/>
        <w:rPr>
          <w:rFonts w:ascii="Calibri" w:cs="Calibri" w:eastAsia="Calibri" w:hAnsi="Calibri"/>
          <w:color w:val="202124"/>
          <w:highlight w:val="white"/>
        </w:rPr>
      </w:pPr>
      <w:r w:rsidDel="00000000" w:rsidR="00000000" w:rsidRPr="00000000">
        <w:rPr>
          <w:rFonts w:ascii="Calibri" w:cs="Calibri" w:eastAsia="Calibri" w:hAnsi="Calibri"/>
          <w:b w:val="1"/>
          <w:color w:val="202124"/>
          <w:highlight w:val="white"/>
          <w:rtl w:val="0"/>
        </w:rPr>
        <w:t xml:space="preserve">O9: </w:t>
      </w:r>
      <w:r w:rsidDel="00000000" w:rsidR="00000000" w:rsidRPr="00000000">
        <w:rPr>
          <w:rFonts w:ascii="Calibri" w:cs="Calibri" w:eastAsia="Calibri" w:hAnsi="Calibri"/>
          <w:color w:val="202124"/>
          <w:highlight w:val="white"/>
          <w:rtl w:val="0"/>
        </w:rPr>
        <w:t xml:space="preserve">Nije utvrđen maksimalni iznos učešća već samo minimalni u iznosu od 10% od iznosa koji se potražuje iz sredstava Swiss PRO programa. U tom smislu, maksimalni iznos učešća LS zavisiće od mogućnosti svake LS ponaosob. U pogledu broja korisnika, treba dodati, da iako je predviđeno oko 25 korisnika po projektu, mi smo svesni činjenice da za teže ranjive grupe kao što su osobe sa invaliditetom broj korisnika može biti mnogo manji ali će efekat projekta i na tako manji broj biti od izuzetnog značaja. </w:t>
      </w:r>
    </w:p>
    <w:p w:rsidR="00000000" w:rsidDel="00000000" w:rsidP="00000000" w:rsidRDefault="00000000" w:rsidRPr="00000000" w14:paraId="00000031">
      <w:pPr>
        <w:spacing w:after="0" w:before="0" w:line="240" w:lineRule="auto"/>
        <w:ind w:left="0" w:firstLine="0"/>
        <w:jc w:val="both"/>
        <w:rPr>
          <w:rFonts w:ascii="Calibri" w:cs="Calibri" w:eastAsia="Calibri" w:hAnsi="Calibri"/>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hd w:fill="ffffff" w:val="clear"/>
      <w:spacing w:line="240" w:lineRule="auto"/>
      <w:jc w:val="center"/>
      <w:rPr>
        <w:rFonts w:ascii="Calibri" w:cs="Calibri" w:eastAsia="Calibri" w:hAnsi="Calibri"/>
        <w:color w:val="808080"/>
        <w:sz w:val="18"/>
        <w:szCs w:val="18"/>
      </w:rPr>
    </w:pPr>
    <w:r w:rsidDel="00000000" w:rsidR="00000000" w:rsidRPr="00000000">
      <w:rPr>
        <w:rFonts w:ascii="Calibri" w:cs="Calibri" w:eastAsia="Calibri" w:hAnsi="Calibri"/>
        <w:b w:val="1"/>
        <w:color w:val="808080"/>
        <w:sz w:val="18"/>
        <w:szCs w:val="18"/>
        <w:rtl w:val="0"/>
      </w:rPr>
      <w:t xml:space="preserve">Podrška Vlade Švajcarske razvoju opština kroz unapređenje dobrog upravljanja i socijalne uključenosti – Swiss PRO</w:t>
    </w:r>
    <w:r w:rsidDel="00000000" w:rsidR="00000000" w:rsidRPr="00000000">
      <w:rPr>
        <w:rtl w:val="0"/>
      </w:rPr>
    </w:r>
  </w:p>
  <w:p w:rsidR="00000000" w:rsidDel="00000000" w:rsidP="00000000" w:rsidRDefault="00000000" w:rsidRPr="00000000" w14:paraId="00000034">
    <w:pPr>
      <w:shd w:fill="ffffff" w:val="clear"/>
      <w:spacing w:line="240" w:lineRule="auto"/>
      <w:jc w:val="center"/>
      <w:rPr>
        <w:rFonts w:ascii="Calibri" w:cs="Calibri" w:eastAsia="Calibri" w:hAnsi="Calibri"/>
        <w:color w:val="808080"/>
        <w:sz w:val="18"/>
        <w:szCs w:val="18"/>
      </w:rPr>
    </w:pPr>
    <w:r w:rsidDel="00000000" w:rsidR="00000000" w:rsidRPr="00000000">
      <w:rPr>
        <w:rFonts w:ascii="Calibri" w:cs="Calibri" w:eastAsia="Calibri" w:hAnsi="Calibri"/>
        <w:color w:val="808080"/>
        <w:sz w:val="18"/>
        <w:szCs w:val="18"/>
        <w:rtl w:val="0"/>
      </w:rPr>
      <w:t xml:space="preserve">Program Swiss PRO  podržava Vlada Švajcarske u saradnji sa Vladom Srbije, a sprovodi UNOPS u partnerstvu sa SKGO</w:t>
    </w:r>
  </w:p>
  <w:p w:rsidR="00000000" w:rsidDel="00000000" w:rsidP="00000000" w:rsidRDefault="00000000" w:rsidRPr="00000000" w14:paraId="00000035">
    <w:pPr>
      <w:shd w:fill="ffffff" w:val="clear"/>
      <w:spacing w:line="240" w:lineRule="auto"/>
      <w:jc w:val="center"/>
      <w:rPr/>
    </w:pPr>
    <w:hyperlink r:id="rId1">
      <w:r w:rsidDel="00000000" w:rsidR="00000000" w:rsidRPr="00000000">
        <w:rPr>
          <w:rFonts w:ascii="Calibri" w:cs="Calibri" w:eastAsia="Calibri" w:hAnsi="Calibri"/>
          <w:b w:val="1"/>
          <w:color w:val="808080"/>
          <w:sz w:val="18"/>
          <w:szCs w:val="18"/>
          <w:u w:val="single"/>
          <w:rtl w:val="0"/>
        </w:rPr>
        <w:t xml:space="preserve">www.swisspro.org</w:t>
      </w:r>
    </w:hyperlink>
    <w:r w:rsidDel="00000000" w:rsidR="00000000" w:rsidRPr="00000000">
      <w:rPr>
        <w:rFonts w:ascii="Calibri" w:cs="Calibri" w:eastAsia="Calibri" w:hAnsi="Calibri"/>
        <w:b w:val="1"/>
        <w:color w:val="808080"/>
        <w:sz w:val="18"/>
        <w:szCs w:val="18"/>
        <w:u w:val="single"/>
        <w:rtl w:val="0"/>
      </w:rPr>
      <w:t xml:space="preserve">.rs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-771523</wp:posOffset>
          </wp:positionH>
          <wp:positionV relativeFrom="paragraph">
            <wp:posOffset>-457197</wp:posOffset>
          </wp:positionV>
          <wp:extent cx="7488778" cy="928688"/>
          <wp:effectExtent b="0" l="0" r="0" t="0"/>
          <wp:wrapNone/>
          <wp:docPr id="2" name="image1.png"/>
          <a:graphic>
            <a:graphicData uri="http://schemas.openxmlformats.org/drawingml/2006/picture">
              <pic:pic>
                <pic:nvPicPr>
                  <pic:cNvPr id="0" name="image1.png"/>
                  <pic:cNvPicPr preferRelativeResize="0"/>
                </pic:nvPicPr>
                <pic:blipFill>
                  <a:blip r:embed="rId1"/>
                  <a:srcRect b="0" l="88" r="88" t="27067"/>
                  <a:stretch>
                    <a:fillRect/>
                  </a:stretch>
                </pic:blipFill>
                <pic:spPr>
                  <a:xfrm>
                    <a:off x="0" y="0"/>
                    <a:ext cx="7488778" cy="928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wissp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wrCD5xj8OWmbMFXSM5E7m3DUg==">AMUW2mXzb6SPUvOpgmKe7VDRwzKKhOEqkcrFa14S9S/R3nw3xyLGzgHkqq5AJ9u4ks9t/4izjFEF3HNgD//qto4ujFOmqjeLlk3QG6dYv2l/kCr2Zr6/7FU=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